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/>
      </w:pPr>
      <w:r>
        <w:rPr>
          <w:rFonts w:ascii="Arial" w:cs="Arial" w:eastAsia="Arial" w:hAnsi="Arial"/>
          <w:b/>
          <w:bCs/>
          <w:color w:val="1F5C8B"/>
          <w:sz w:val="30"/>
          <w:szCs w:val="30"/>
        </w:rPr>
        <w:t xml:space="preserve">Belastingdienst 2026 — 5 risicoposten voor zzp'ers</w:t>
      </w:r>
    </w:p>
    <w:p>
      <w:pPr>
        <w:spacing w:after="240"/>
      </w:pPr>
      <w:r>
        <w:rPr>
          <w:rFonts w:ascii="Arial" w:cs="Arial" w:eastAsia="Arial" w:hAnsi="Arial"/>
          <w:i/>
          <w:iCs/>
          <w:color w:val="555555"/>
          <w:sz w:val="19"/>
          <w:szCs w:val="19"/>
        </w:rPr>
        <w:t xml:space="preserve">Handhavingsmoratorium deels opgeheven. Vergrijpboetes zijn terug. Dit zijn de vijf posten die als eerste onder de loep gaan.</w:t>
      </w:r>
    </w:p>
    <w:tbl>
      <w:tblPr>
        <w:tblW w:type="dxa" w:w="9864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2200"/>
        <w:gridCol w:w="4000"/>
        <w:gridCol w:w="3264"/>
      </w:tblGrid>
      <w:tr>
        <w:trPr>
          <w:tblHeader/>
        </w:trPr>
        <w:tc>
          <w:tcPr>
            <w:tcW w:type="dxa" w:w="400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1F5C8B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2200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1F5C8B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Risico</w:t>
            </w:r>
          </w:p>
        </w:tc>
        <w:tc>
          <w:tcPr>
            <w:tcW w:type="dxa" w:w="4000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1F5C8B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Waarom valt het op</w:t>
            </w:r>
          </w:p>
        </w:tc>
        <w:tc>
          <w:tcPr>
            <w:tcW w:type="dxa" w:w="3264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1F5C8B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Wat moet je regelen</w:t>
            </w:r>
          </w:p>
        </w:tc>
      </w:tr>
      <w:tr>
        <w:tc>
          <w:tcPr>
            <w:tcW w:type="dxa" w:w="400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EAF1F8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A1A1A"/>
                <w:sz w:val="18"/>
                <w:szCs w:val="18"/>
              </w:rPr>
              <w:t xml:space="preserve">1</w:t>
            </w:r>
          </w:p>
        </w:tc>
        <w:tc>
          <w:tcPr>
            <w:tcW w:type="dxa" w:w="2200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EAF1F8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A1A1A"/>
                <w:sz w:val="18"/>
                <w:szCs w:val="18"/>
              </w:rPr>
              <w:t xml:space="preserve">Zakelijke auto</w:t>
            </w:r>
          </w:p>
        </w:tc>
        <w:tc>
          <w:tcPr>
            <w:tcW w:type="dxa" w:w="4000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EAF1F8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Bijtelling IB verkeerd (22% standaard, 18% voor EV tot €30k). BTW-correctie privégebruik ontbreekt in Q4-aangifte. Woon-werkverkeer = privé voor de BTW.</w:t>
            </w:r>
          </w:p>
        </w:tc>
        <w:tc>
          <w:tcPr>
            <w:tcW w:type="dxa" w:w="3264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EAF1F8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Sluitende rittenregistratie (keurmerk). BTW-forfait 2,7% of werkelijk bijhouden. Youngtimer: nu 16 jaar (was 15).</w:t>
            </w:r>
          </w:p>
        </w:tc>
      </w:tr>
      <w:tr>
        <w:tc>
          <w:tcPr>
            <w:tcW w:type="dxa" w:w="400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A1A1A"/>
                <w:sz w:val="18"/>
                <w:szCs w:val="18"/>
              </w:rPr>
              <w:t xml:space="preserve">2</w:t>
            </w:r>
          </w:p>
        </w:tc>
        <w:tc>
          <w:tcPr>
            <w:tcW w:type="dxa" w:w="2200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A1A1A"/>
                <w:sz w:val="18"/>
                <w:szCs w:val="18"/>
              </w:rPr>
              <w:t xml:space="preserve">Werkkamer eigen woning</w:t>
            </w:r>
          </w:p>
        </w:tc>
        <w:tc>
          <w:tcPr>
            <w:tcW w:type="dxa" w:w="4000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Bijna geen enkele thuiskantoor voldoet aan de eisen: eigen ingang, eigen sanitair, zelfstandig verhuurbaar. Inspecteur checkt dit fysiek.</w:t>
            </w:r>
          </w:p>
        </w:tc>
        <w:tc>
          <w:tcPr>
            <w:tcW w:type="dxa" w:w="3264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Aftrek alleen bij echte zelfstandige ruimte. Gebruikstoets: 70% van inkomen in/vanuit die kamer. Bij twijfel: niet opvoeren.</w:t>
            </w:r>
          </w:p>
        </w:tc>
      </w:tr>
      <w:tr>
        <w:tc>
          <w:tcPr>
            <w:tcW w:type="dxa" w:w="400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EAF1F8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A1A1A"/>
                <w:sz w:val="18"/>
                <w:szCs w:val="18"/>
              </w:rPr>
              <w:t xml:space="preserve">3</w:t>
            </w:r>
          </w:p>
        </w:tc>
        <w:tc>
          <w:tcPr>
            <w:tcW w:type="dxa" w:w="2200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EAF1F8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A1A1A"/>
                <w:sz w:val="18"/>
                <w:szCs w:val="18"/>
              </w:rPr>
              <w:t xml:space="preserve">Representatie &amp; lunches</w:t>
            </w:r>
          </w:p>
        </w:tc>
        <w:tc>
          <w:tcPr>
            <w:tcW w:type="dxa" w:w="4000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EAF1F8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100% aftrek claimen terwijl de 80/20-regel geldt. BTW op horeca-uitgaven terugvragen — dat is nooit aftrekbaar, ook niet zakelijk.</w:t>
            </w:r>
          </w:p>
        </w:tc>
        <w:tc>
          <w:tcPr>
            <w:tcW w:type="dxa" w:w="3264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EAF1F8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Max 80% aftrek IB. BTW op eten/drinken in restaurant: altijd 0% aftrek. Naam gesprekspartner + zakelijk doel documenteren.</w:t>
            </w:r>
          </w:p>
        </w:tc>
      </w:tr>
      <w:tr>
        <w:tc>
          <w:tcPr>
            <w:tcW w:type="dxa" w:w="400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A1A1A"/>
                <w:sz w:val="18"/>
                <w:szCs w:val="18"/>
              </w:rPr>
              <w:t xml:space="preserve">4</w:t>
            </w:r>
          </w:p>
        </w:tc>
        <w:tc>
          <w:tcPr>
            <w:tcW w:type="dxa" w:w="2200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A1A1A"/>
                <w:sz w:val="18"/>
                <w:szCs w:val="18"/>
              </w:rPr>
              <w:t xml:space="preserve">Telefonie &amp; hardware</w:t>
            </w:r>
          </w:p>
        </w:tc>
        <w:tc>
          <w:tcPr>
            <w:tcW w:type="dxa" w:w="4000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Alle telefoon-/internetkosten als 100% zakelijk opgeven zonder privécorrectie. Hardware &gt; €450 in één keer afschrijven i.p.v. activeren op balans.</w:t>
            </w:r>
          </w:p>
        </w:tc>
        <w:tc>
          <w:tcPr>
            <w:tcW w:type="dxa" w:w="3264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Realistische verdeelsleutel privé/zakelijk. Hardware &gt; €450 activeren, 5 jaar afschrijven. KIA-rapportage wordt gecontroleerd op bestaan + zakelijk gebruik.</w:t>
            </w:r>
          </w:p>
        </w:tc>
      </w:tr>
      <w:tr>
        <w:tc>
          <w:tcPr>
            <w:tcW w:type="dxa" w:w="400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EAF1F8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A1A1A"/>
                <w:sz w:val="18"/>
                <w:szCs w:val="18"/>
              </w:rPr>
              <w:t xml:space="preserve">5</w:t>
            </w:r>
          </w:p>
        </w:tc>
        <w:tc>
          <w:tcPr>
            <w:tcW w:type="dxa" w:w="2200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EAF1F8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1A1A1A"/>
                <w:sz w:val="18"/>
                <w:szCs w:val="18"/>
              </w:rPr>
              <w:t xml:space="preserve">Urencriterium &amp; schijnzelfstandigheid</w:t>
            </w:r>
          </w:p>
        </w:tc>
        <w:tc>
          <w:tcPr>
            <w:tcW w:type="dxa" w:w="4000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EAF1F8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Zonder 1.225 uur vervallen: zelfstandigenaftrek (€1.200), startersaftrek (€2.123) én MKB-vrijstelling (12,7%). Bij schijnzelfstandigheid: naheffing + vergrijpboete.</w:t>
            </w:r>
          </w:p>
        </w:tc>
        <w:tc>
          <w:tcPr>
            <w:tcW w:type="dxa" w:w="3264"/>
            <w:tcBorders>
              <w:top w:val="single" w:color="B8CCE4" w:sz="1"/>
              <w:left w:val="single" w:color="B8CCE4" w:sz="1"/>
              <w:bottom w:val="single" w:color="B8CCE4" w:sz="1"/>
              <w:right w:val="single" w:color="B8CCE4" w:sz="1"/>
            </w:tcBorders>
            <w:shd w:fill="EAF1F8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Realtime urenadministratie bijhouden — achteraf opgesteld wordt verworpen. Bij één opdrachtgever + laag tarief (&lt;€38/uur): hoog controlerisico (VBAR-criterium).</w:t>
            </w:r>
          </w:p>
        </w:tc>
      </w:tr>
    </w:tbl>
    <w:p>
      <w:pPr>
        <w:spacing w:before="200"/>
      </w:pPr>
      <w:r>
        <w:rPr>
          <w:rFonts w:ascii="Arial" w:cs="Arial" w:eastAsia="Arial" w:hAnsi="Arial"/>
          <w:b/>
          <w:bCs/>
          <w:color w:val="1A1A1A"/>
          <w:sz w:val="17"/>
          <w:szCs w:val="17"/>
        </w:rPr>
        <w:t xml:space="preserve">Let op: </w:t>
      </w:r>
      <w:r>
        <w:rPr>
          <w:rFonts w:ascii="Arial" w:cs="Arial" w:eastAsia="Arial" w:hAnsi="Arial"/>
          <w:color w:val="555555"/>
          <w:sz w:val="17"/>
          <w:szCs w:val="17"/>
        </w:rPr>
        <w:t xml:space="preserve">Verzuimboetes blijven achterwege tot 1 jan 2027, maar vergrijpboetes bij opzet of grove schuld zijn per 1 jan 2026 weer volledig van kracht. Boekenonderzoeken kunnen teruggaan tot 1 januari 2025.</w:t>
      </w:r>
    </w:p>
    <w:sectPr>
      <w:pgSz w:w="11906" w:h="16838" w:orient="portrait"/>
      <w:pgMar w:top="1020" w:right="1020" w:bottom="1020" w:left="10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2026-04-03T21:23:00.581Z</dcterms:created>
  <dcterms:modified xsi:type="dcterms:W3CDTF">2026-04-03T21:23:00.581Z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